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00" w:after="120"/>
        <w:rPr/>
      </w:pPr>
      <w:bookmarkStart w:id="0" w:name="_o6qaus8w5b6z"/>
      <w:bookmarkEnd w:id="0"/>
      <w:r>
        <w:rPr/>
        <w:t>GCOMS UK Finance report</w:t>
      </w:r>
    </w:p>
    <w:p>
      <w:pPr>
        <w:pStyle w:val="Normal1"/>
        <w:rPr/>
      </w:pPr>
      <w:r>
        <w:rPr/>
        <w:t>In August 2020 the newly formed GCOMS UK Steering Group submitted a successful application to the Lansbury House Trust Fund, to cover a network coordinator for 10 months (running October 2020 - end July 2021). The Steering Group was successful in an additional two funding bids in August 2021 to continue and expand this work. For ease of understanding we are therefore reporting our financial year from August 1st to 31st July to reflect this funding cycle.</w:t>
      </w:r>
    </w:p>
    <w:p>
      <w:pPr>
        <w:pStyle w:val="Normal1"/>
        <w:rPr/>
      </w:pPr>
      <w:r>
        <w:rPr/>
      </w:r>
    </w:p>
    <w:p>
      <w:pPr>
        <w:pStyle w:val="Heading2"/>
        <w:rPr/>
      </w:pPr>
      <w:bookmarkStart w:id="1" w:name="_5biobh4z9p43"/>
      <w:bookmarkEnd w:id="1"/>
      <w:r>
        <w:rPr>
          <w:b/>
        </w:rPr>
        <w:t>Proposed budget vs Actual spend 2020-21</w:t>
      </w:r>
      <w:r>
        <w:rPr/>
        <w:t xml:space="preserve"> (covering period 1/8/2020 - 31/07/21)</w:t>
      </w:r>
    </w:p>
    <w:p>
      <w:pPr>
        <w:pStyle w:val="Normal1"/>
        <w:rPr/>
      </w:pPr>
      <w:r>
        <w:rPr/>
      </w:r>
    </w:p>
    <w:tbl>
      <w:tblPr>
        <w:tblStyle w:val="Table1"/>
        <w:tblW w:w="9360" w:type="dxa"/>
        <w:jc w:val="left"/>
        <w:tblInd w:w="0" w:type="dxa"/>
        <w:tblCellMar>
          <w:top w:w="100" w:type="dxa"/>
          <w:left w:w="100" w:type="dxa"/>
          <w:bottom w:w="100" w:type="dxa"/>
          <w:right w:w="100" w:type="dxa"/>
        </w:tblCellMar>
        <w:tblLook w:val="0600"/>
      </w:tblPr>
      <w:tblGrid>
        <w:gridCol w:w="6524"/>
        <w:gridCol w:w="1305"/>
        <w:gridCol w:w="1531"/>
      </w:tblGrid>
      <w:tr>
        <w:trPr/>
        <w:tc>
          <w:tcPr>
            <w:tcW w:w="652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b/>
                <w:b/>
                <w:sz w:val="26"/>
                <w:szCs w:val="26"/>
              </w:rPr>
            </w:pPr>
            <w:r>
              <w:rPr>
                <w:b/>
                <w:sz w:val="26"/>
                <w:szCs w:val="26"/>
              </w:rPr>
              <w:t>Income</w:t>
            </w:r>
          </w:p>
        </w:tc>
        <w:tc>
          <w:tcPr>
            <w:tcW w:w="130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b/>
                <w:b/>
                <w:sz w:val="24"/>
                <w:szCs w:val="24"/>
              </w:rPr>
            </w:pPr>
            <w:r>
              <w:rPr>
                <w:b/>
                <w:sz w:val="24"/>
                <w:szCs w:val="24"/>
              </w:rPr>
              <w:t>Budget</w:t>
            </w:r>
          </w:p>
        </w:tc>
        <w:tc>
          <w:tcPr>
            <w:tcW w:w="153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b/>
                <w:b/>
                <w:sz w:val="24"/>
                <w:szCs w:val="24"/>
              </w:rPr>
            </w:pPr>
            <w:r>
              <w:rPr>
                <w:b/>
                <w:sz w:val="24"/>
                <w:szCs w:val="24"/>
              </w:rPr>
              <w:t>Actual</w:t>
            </w:r>
          </w:p>
        </w:tc>
      </w:tr>
      <w:tr>
        <w:trPr/>
        <w:tc>
          <w:tcPr>
            <w:tcW w:w="652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b/>
                <w:b/>
              </w:rPr>
            </w:pPr>
            <w:r>
              <w:rPr>
                <w:b/>
              </w:rPr>
              <w:t>Lansbury House Trust Fund</w:t>
            </w:r>
          </w:p>
        </w:tc>
        <w:tc>
          <w:tcPr>
            <w:tcW w:w="130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pPr>
            <w:r>
              <w:rPr/>
              <w:t>£7000</w:t>
            </w:r>
          </w:p>
        </w:tc>
        <w:tc>
          <w:tcPr>
            <w:tcW w:w="153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pPr>
            <w:r>
              <w:rPr/>
              <w:t>£7000</w:t>
            </w:r>
          </w:p>
        </w:tc>
      </w:tr>
      <w:tr>
        <w:trPr/>
        <w:tc>
          <w:tcPr>
            <w:tcW w:w="652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pPr>
            <w:r>
              <w:rPr>
                <w:b/>
              </w:rPr>
              <w:t>Supporting organisation contribution</w:t>
            </w:r>
          </w:p>
        </w:tc>
        <w:tc>
          <w:tcPr>
            <w:tcW w:w="130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pPr>
            <w:r>
              <w:rPr/>
              <w:t>£680.00</w:t>
            </w:r>
          </w:p>
        </w:tc>
        <w:tc>
          <w:tcPr>
            <w:tcW w:w="153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pPr>
            <w:r>
              <w:rPr/>
              <w:t>£400</w:t>
            </w:r>
          </w:p>
        </w:tc>
      </w:tr>
      <w:tr>
        <w:trPr/>
        <w:tc>
          <w:tcPr>
            <w:tcW w:w="652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b/>
                <w:b/>
              </w:rPr>
            </w:pPr>
            <w:r>
              <w:rPr>
                <w:b/>
              </w:rPr>
              <w:t xml:space="preserve">Total </w:t>
            </w:r>
          </w:p>
        </w:tc>
        <w:tc>
          <w:tcPr>
            <w:tcW w:w="130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pPr>
            <w:r>
              <w:rPr/>
              <w:t>£7680.00</w:t>
            </w:r>
          </w:p>
        </w:tc>
        <w:tc>
          <w:tcPr>
            <w:tcW w:w="153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pPr>
            <w:r>
              <w:rPr/>
              <w:t>£7400</w:t>
            </w:r>
          </w:p>
        </w:tc>
      </w:tr>
    </w:tbl>
    <w:p>
      <w:pPr>
        <w:pStyle w:val="Normal1"/>
        <w:rPr/>
      </w:pPr>
      <w:r>
        <w:rPr/>
      </w:r>
    </w:p>
    <w:p>
      <w:pPr>
        <w:pStyle w:val="Normal1"/>
        <w:rPr/>
      </w:pPr>
      <w:r>
        <w:rPr/>
      </w:r>
    </w:p>
    <w:p>
      <w:pPr>
        <w:pStyle w:val="Normal1"/>
        <w:rPr/>
      </w:pPr>
      <w:r>
        <w:rPr/>
      </w:r>
    </w:p>
    <w:tbl>
      <w:tblPr>
        <w:tblStyle w:val="Table2"/>
        <w:tblW w:w="9375" w:type="dxa"/>
        <w:jc w:val="left"/>
        <w:tblInd w:w="85" w:type="dxa"/>
        <w:tblCellMar>
          <w:top w:w="100" w:type="dxa"/>
          <w:left w:w="100" w:type="dxa"/>
          <w:bottom w:w="100" w:type="dxa"/>
          <w:right w:w="100" w:type="dxa"/>
        </w:tblCellMar>
        <w:tblLook w:val="0600"/>
      </w:tblPr>
      <w:tblGrid>
        <w:gridCol w:w="6540"/>
        <w:gridCol w:w="1305"/>
        <w:gridCol w:w="1530"/>
      </w:tblGrid>
      <w:tr>
        <w:trPr/>
        <w:tc>
          <w:tcPr>
            <w:tcW w:w="654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b/>
                <w:b/>
                <w:sz w:val="26"/>
                <w:szCs w:val="26"/>
              </w:rPr>
            </w:pPr>
            <w:r>
              <w:rPr>
                <w:b/>
                <w:sz w:val="26"/>
                <w:szCs w:val="26"/>
              </w:rPr>
              <w:t>Expenditure</w:t>
            </w:r>
          </w:p>
        </w:tc>
        <w:tc>
          <w:tcPr>
            <w:tcW w:w="130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b/>
                <w:b/>
                <w:sz w:val="24"/>
                <w:szCs w:val="24"/>
              </w:rPr>
            </w:pPr>
            <w:r>
              <w:rPr>
                <w:b/>
                <w:sz w:val="24"/>
                <w:szCs w:val="24"/>
              </w:rPr>
              <w:t>Budget</w:t>
            </w:r>
          </w:p>
        </w:tc>
        <w:tc>
          <w:tcPr>
            <w:tcW w:w="153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b/>
                <w:b/>
                <w:sz w:val="24"/>
                <w:szCs w:val="24"/>
              </w:rPr>
            </w:pPr>
            <w:r>
              <w:rPr>
                <w:b/>
                <w:sz w:val="24"/>
                <w:szCs w:val="24"/>
              </w:rPr>
              <w:t>Actual</w:t>
            </w:r>
          </w:p>
        </w:tc>
      </w:tr>
      <w:tr>
        <w:trPr/>
        <w:tc>
          <w:tcPr>
            <w:tcW w:w="654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pPr>
            <w:r>
              <w:rPr/>
              <w:t>Consultant for website and network coordination (8hrs x 40 weeks)</w:t>
            </w:r>
          </w:p>
        </w:tc>
        <w:tc>
          <w:tcPr>
            <w:tcW w:w="130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pPr>
            <w:r>
              <w:rPr/>
              <w:t>£6400</w:t>
            </w:r>
          </w:p>
        </w:tc>
        <w:tc>
          <w:tcPr>
            <w:tcW w:w="153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pPr>
            <w:r>
              <w:rPr/>
              <w:t>£6080*</w:t>
            </w:r>
          </w:p>
        </w:tc>
      </w:tr>
      <w:tr>
        <w:trPr/>
        <w:tc>
          <w:tcPr>
            <w:tcW w:w="654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b/>
                <w:b/>
              </w:rPr>
            </w:pPr>
            <w:r>
              <w:rPr>
                <w:b/>
              </w:rPr>
              <w:t>Hardware / software</w:t>
            </w:r>
          </w:p>
          <w:p>
            <w:pPr>
              <w:pStyle w:val="Normal1"/>
              <w:widowControl w:val="false"/>
              <w:numPr>
                <w:ilvl w:val="0"/>
                <w:numId w:val="1"/>
              </w:numPr>
              <w:spacing w:lineRule="auto" w:line="240"/>
              <w:ind w:left="720" w:hanging="360"/>
              <w:rPr/>
            </w:pPr>
            <w:r>
              <w:rPr/>
              <w:t>3 years web hosting (£182.02)</w:t>
            </w:r>
          </w:p>
          <w:p>
            <w:pPr>
              <w:pStyle w:val="Normal1"/>
              <w:widowControl w:val="false"/>
              <w:numPr>
                <w:ilvl w:val="0"/>
                <w:numId w:val="1"/>
              </w:numPr>
              <w:spacing w:lineRule="auto" w:line="240"/>
              <w:ind w:left="720" w:hanging="360"/>
              <w:rPr/>
            </w:pPr>
            <w:r>
              <w:rPr/>
              <w:t>Website plugins (£50.78)</w:t>
            </w:r>
          </w:p>
          <w:p>
            <w:pPr>
              <w:pStyle w:val="Normal1"/>
              <w:widowControl w:val="false"/>
              <w:numPr>
                <w:ilvl w:val="0"/>
                <w:numId w:val="1"/>
              </w:numPr>
              <w:spacing w:lineRule="auto" w:line="240"/>
              <w:ind w:left="720" w:hanging="360"/>
              <w:rPr/>
            </w:pPr>
            <w:r>
              <w:rPr/>
              <w:t>Zoom webinar costs (£134.40)</w:t>
            </w:r>
          </w:p>
        </w:tc>
        <w:tc>
          <w:tcPr>
            <w:tcW w:w="130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pPr>
            <w:r>
              <w:rPr/>
              <w:t>£120</w:t>
            </w:r>
          </w:p>
        </w:tc>
        <w:tc>
          <w:tcPr>
            <w:tcW w:w="153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pPr>
            <w:r>
              <w:rPr/>
              <w:t>£367.20</w:t>
            </w:r>
          </w:p>
        </w:tc>
      </w:tr>
      <w:tr>
        <w:trPr/>
        <w:tc>
          <w:tcPr>
            <w:tcW w:w="654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b/>
                <w:b/>
              </w:rPr>
            </w:pPr>
            <w:r>
              <w:rPr>
                <w:b/>
              </w:rPr>
              <w:t>Travel costs</w:t>
            </w:r>
          </w:p>
        </w:tc>
        <w:tc>
          <w:tcPr>
            <w:tcW w:w="130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pPr>
            <w:r>
              <w:rPr/>
              <w:t>£160</w:t>
            </w:r>
          </w:p>
        </w:tc>
        <w:tc>
          <w:tcPr>
            <w:tcW w:w="153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pPr>
            <w:r>
              <w:rPr/>
              <w:t>£0</w:t>
            </w:r>
          </w:p>
        </w:tc>
      </w:tr>
      <w:tr>
        <w:trPr/>
        <w:tc>
          <w:tcPr>
            <w:tcW w:w="654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b/>
                <w:b/>
              </w:rPr>
            </w:pPr>
            <w:r>
              <w:rPr>
                <w:b/>
              </w:rPr>
              <w:t>Steering Group contact contribution</w:t>
            </w:r>
          </w:p>
        </w:tc>
        <w:tc>
          <w:tcPr>
            <w:tcW w:w="130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pPr>
            <w:r>
              <w:rPr/>
              <w:t>£1000</w:t>
            </w:r>
          </w:p>
        </w:tc>
        <w:tc>
          <w:tcPr>
            <w:tcW w:w="153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pPr>
            <w:r>
              <w:rPr/>
              <w:t>£800</w:t>
            </w:r>
          </w:p>
        </w:tc>
      </w:tr>
      <w:tr>
        <w:trPr/>
        <w:tc>
          <w:tcPr>
            <w:tcW w:w="654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b/>
                <w:b/>
                <w:sz w:val="24"/>
                <w:szCs w:val="24"/>
              </w:rPr>
            </w:pPr>
            <w:r>
              <w:rPr>
                <w:b/>
                <w:sz w:val="24"/>
                <w:szCs w:val="24"/>
              </w:rPr>
              <w:t xml:space="preserve">Total </w:t>
            </w:r>
          </w:p>
        </w:tc>
        <w:tc>
          <w:tcPr>
            <w:tcW w:w="130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pPr>
            <w:r>
              <w:rPr/>
              <w:t>£7680</w:t>
            </w:r>
          </w:p>
        </w:tc>
        <w:tc>
          <w:tcPr>
            <w:tcW w:w="153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pPr>
            <w:r>
              <w:rPr>
                <w:sz w:val="20"/>
                <w:szCs w:val="20"/>
              </w:rPr>
              <w:t>£7247.20</w:t>
            </w:r>
          </w:p>
        </w:tc>
      </w:tr>
    </w:tbl>
    <w:p>
      <w:pPr>
        <w:pStyle w:val="Normal1"/>
        <w:rPr/>
      </w:pPr>
      <w:r>
        <w:rPr/>
        <w:t>*Due to a recruiting delay, the contract did not end until 16th August</w:t>
      </w:r>
    </w:p>
    <w:p>
      <w:pPr>
        <w:pStyle w:val="Heading3"/>
        <w:ind w:left="0" w:hanging="0"/>
        <w:rPr/>
      </w:pPr>
      <w:bookmarkStart w:id="2" w:name="_lbgtn7iu4o9q"/>
      <w:bookmarkEnd w:id="2"/>
      <w:r>
        <w:rPr/>
        <w:t>End of reporting period account balance: £152.80</w:t>
      </w:r>
    </w:p>
    <w:p>
      <w:pPr>
        <w:pStyle w:val="Normal1"/>
        <w:rPr/>
      </w:pPr>
      <w:r>
        <w:rPr/>
      </w:r>
    </w:p>
    <w:p>
      <w:pPr>
        <w:pStyle w:val="Heading2"/>
        <w:rPr/>
      </w:pPr>
      <w:bookmarkStart w:id="3" w:name="_zcuqbbp2fnuh"/>
      <w:bookmarkEnd w:id="3"/>
      <w:r>
        <w:rPr>
          <w:b/>
        </w:rPr>
        <w:t>Proposed budget 2021-22</w:t>
      </w:r>
      <w:r>
        <w:rPr/>
        <w:t xml:space="preserve"> (covering period 1/8/2021 - 31/07/22)</w:t>
      </w:r>
    </w:p>
    <w:p>
      <w:pPr>
        <w:pStyle w:val="Normal1"/>
        <w:rPr/>
      </w:pPr>
      <w:r>
        <w:rPr/>
        <w:t>Funding from Lansbury House Trust Fund will enable us to continue with a coordinator for the year ahead. Additional funding from Edith M Ellis Trust will cover a campaign to highlight the role of militarism during the COP26 period - this includes the creation of printed materials and short social media films.</w:t>
      </w:r>
    </w:p>
    <w:p>
      <w:pPr>
        <w:pStyle w:val="Normal1"/>
        <w:rPr/>
      </w:pPr>
      <w:r>
        <w:rPr/>
      </w:r>
    </w:p>
    <w:p>
      <w:pPr>
        <w:pStyle w:val="Normal1"/>
        <w:rPr/>
      </w:pPr>
      <w:r>
        <w:rPr/>
        <w:t>We are hopeful that we can attract sufficient donations from supporting group and individuals over the coming year in order to build up a small organisational reserve to cover ongoing costs.</w:t>
      </w:r>
    </w:p>
    <w:p>
      <w:pPr>
        <w:pStyle w:val="Normal1"/>
        <w:rPr/>
      </w:pPr>
      <w:r>
        <w:rPr/>
      </w:r>
    </w:p>
    <w:tbl>
      <w:tblPr>
        <w:tblStyle w:val="Table3"/>
        <w:tblW w:w="9360" w:type="dxa"/>
        <w:jc w:val="left"/>
        <w:tblInd w:w="0" w:type="dxa"/>
        <w:tblCellMar>
          <w:top w:w="100" w:type="dxa"/>
          <w:left w:w="100" w:type="dxa"/>
          <w:bottom w:w="100" w:type="dxa"/>
          <w:right w:w="100" w:type="dxa"/>
        </w:tblCellMar>
        <w:tblLook w:val="0600"/>
      </w:tblPr>
      <w:tblGrid>
        <w:gridCol w:w="4635"/>
        <w:gridCol w:w="2160"/>
        <w:gridCol w:w="2565"/>
      </w:tblGrid>
      <w:tr>
        <w:trPr/>
        <w:tc>
          <w:tcPr>
            <w:tcW w:w="4635" w:type="dxa"/>
            <w:tcBorders>
              <w:top w:val="single" w:sz="8" w:space="0" w:color="000000"/>
              <w:left w:val="single" w:sz="8" w:space="0" w:color="000000"/>
              <w:bottom w:val="single" w:sz="8" w:space="0" w:color="000000"/>
              <w:right w:val="single" w:sz="8" w:space="0" w:color="000000"/>
            </w:tcBorders>
            <w:shd w:fill="auto" w:val="clear"/>
          </w:tcPr>
          <w:p>
            <w:pPr>
              <w:pStyle w:val="Heading2"/>
              <w:widowControl w:val="false"/>
              <w:spacing w:lineRule="auto" w:line="240" w:before="360" w:after="120"/>
              <w:rPr/>
            </w:pPr>
            <w:r>
              <w:rPr/>
            </w:r>
            <w:bookmarkStart w:id="4" w:name="_e7vonbrc7b7n"/>
            <w:bookmarkStart w:id="5" w:name="_e7vonbrc7b7n"/>
            <w:bookmarkEnd w:id="5"/>
          </w:p>
        </w:tc>
        <w:tc>
          <w:tcPr>
            <w:tcW w:w="2160" w:type="dxa"/>
            <w:tcBorders>
              <w:top w:val="single" w:sz="8" w:space="0" w:color="000000"/>
              <w:left w:val="single" w:sz="8" w:space="0" w:color="000000"/>
              <w:bottom w:val="single" w:sz="8" w:space="0" w:color="000000"/>
              <w:right w:val="single" w:sz="8" w:space="0" w:color="000000"/>
            </w:tcBorders>
            <w:shd w:fill="auto" w:val="clear"/>
          </w:tcPr>
          <w:p>
            <w:pPr>
              <w:pStyle w:val="Heading2"/>
              <w:widowControl w:val="false"/>
              <w:spacing w:lineRule="auto" w:line="240" w:before="360" w:after="120"/>
              <w:rPr/>
            </w:pPr>
            <w:bookmarkStart w:id="6" w:name="_9vzy1te7jku6"/>
            <w:bookmarkEnd w:id="6"/>
            <w:r>
              <w:rPr/>
              <w:t>Income</w:t>
            </w:r>
          </w:p>
        </w:tc>
        <w:tc>
          <w:tcPr>
            <w:tcW w:w="2565" w:type="dxa"/>
            <w:tcBorders>
              <w:top w:val="single" w:sz="8" w:space="0" w:color="000000"/>
              <w:left w:val="single" w:sz="8" w:space="0" w:color="000000"/>
              <w:bottom w:val="single" w:sz="8" w:space="0" w:color="000000"/>
              <w:right w:val="single" w:sz="8" w:space="0" w:color="000000"/>
            </w:tcBorders>
            <w:shd w:fill="auto" w:val="clear"/>
          </w:tcPr>
          <w:p>
            <w:pPr>
              <w:pStyle w:val="Heading2"/>
              <w:widowControl w:val="false"/>
              <w:spacing w:lineRule="auto" w:line="240" w:before="360" w:after="120"/>
              <w:rPr/>
            </w:pPr>
            <w:bookmarkStart w:id="7" w:name="_nhet7yohsd6p"/>
            <w:bookmarkEnd w:id="7"/>
            <w:r>
              <w:rPr/>
              <w:t>Expenditure</w:t>
            </w:r>
          </w:p>
        </w:tc>
      </w:tr>
      <w:tr>
        <w:trPr/>
        <w:tc>
          <w:tcPr>
            <w:tcW w:w="463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b/>
                <w:b/>
              </w:rPr>
            </w:pPr>
            <w:r>
              <w:rPr>
                <w:b/>
              </w:rPr>
              <w:t>Lansbury House Trust Fund</w:t>
            </w:r>
          </w:p>
        </w:tc>
        <w:tc>
          <w:tcPr>
            <w:tcW w:w="216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right"/>
              <w:rPr/>
            </w:pPr>
            <w:r>
              <w:rPr/>
              <w:t>£7,350 (secured)</w:t>
            </w:r>
          </w:p>
        </w:tc>
        <w:tc>
          <w:tcPr>
            <w:tcW w:w="256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right"/>
              <w:rPr/>
            </w:pPr>
            <w:r>
              <w:rPr/>
            </w:r>
          </w:p>
        </w:tc>
      </w:tr>
      <w:tr>
        <w:trPr/>
        <w:tc>
          <w:tcPr>
            <w:tcW w:w="463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b/>
                <w:b/>
              </w:rPr>
            </w:pPr>
            <w:r>
              <w:rPr>
                <w:b/>
              </w:rPr>
              <w:t>Edith M Ellis Trust</w:t>
            </w:r>
          </w:p>
        </w:tc>
        <w:tc>
          <w:tcPr>
            <w:tcW w:w="216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right"/>
              <w:rPr/>
            </w:pPr>
            <w:r>
              <w:rPr/>
              <w:t>£3,000 (secured)</w:t>
            </w:r>
          </w:p>
        </w:tc>
        <w:tc>
          <w:tcPr>
            <w:tcW w:w="256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right"/>
              <w:rPr/>
            </w:pPr>
            <w:r>
              <w:rPr/>
            </w:r>
          </w:p>
        </w:tc>
      </w:tr>
      <w:tr>
        <w:trPr/>
        <w:tc>
          <w:tcPr>
            <w:tcW w:w="463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pPr>
            <w:r>
              <w:rPr>
                <w:b/>
              </w:rPr>
              <w:t>Donations (Supporting groups and individuals)</w:t>
            </w:r>
          </w:p>
        </w:tc>
        <w:tc>
          <w:tcPr>
            <w:tcW w:w="216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right"/>
              <w:rPr/>
            </w:pPr>
            <w:r>
              <w:rPr/>
              <w:t>£1000</w:t>
            </w:r>
          </w:p>
        </w:tc>
        <w:tc>
          <w:tcPr>
            <w:tcW w:w="256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right"/>
              <w:rPr/>
            </w:pPr>
            <w:r>
              <w:rPr/>
            </w:r>
          </w:p>
        </w:tc>
      </w:tr>
      <w:tr>
        <w:trPr/>
        <w:tc>
          <w:tcPr>
            <w:tcW w:w="463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b/>
                <w:b/>
              </w:rPr>
            </w:pPr>
            <w:r>
              <w:rPr>
                <w:b/>
              </w:rPr>
            </w:r>
          </w:p>
        </w:tc>
        <w:tc>
          <w:tcPr>
            <w:tcW w:w="216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right"/>
              <w:rPr>
                <w:b/>
                <w:b/>
              </w:rPr>
            </w:pPr>
            <w:r>
              <w:rPr>
                <w:b/>
              </w:rPr>
            </w:r>
          </w:p>
        </w:tc>
        <w:tc>
          <w:tcPr>
            <w:tcW w:w="256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right"/>
              <w:rPr>
                <w:b/>
                <w:b/>
              </w:rPr>
            </w:pPr>
            <w:r>
              <w:rPr>
                <w:b/>
              </w:rPr>
            </w:r>
          </w:p>
        </w:tc>
      </w:tr>
      <w:tr>
        <w:trPr/>
        <w:tc>
          <w:tcPr>
            <w:tcW w:w="463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b/>
                <w:b/>
              </w:rPr>
            </w:pPr>
            <w:r>
              <w:rPr>
                <w:b/>
              </w:rPr>
              <w:t>Freelance co-ordinator (50 days over 1 year)</w:t>
            </w:r>
          </w:p>
        </w:tc>
        <w:tc>
          <w:tcPr>
            <w:tcW w:w="216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right"/>
              <w:rPr/>
            </w:pPr>
            <w:r>
              <w:rPr/>
            </w:r>
          </w:p>
        </w:tc>
        <w:tc>
          <w:tcPr>
            <w:tcW w:w="256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right"/>
              <w:rPr/>
            </w:pPr>
            <w:r>
              <w:rPr/>
              <w:t>£7,500</w:t>
            </w:r>
          </w:p>
        </w:tc>
      </w:tr>
      <w:tr>
        <w:trPr/>
        <w:tc>
          <w:tcPr>
            <w:tcW w:w="463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b/>
                <w:b/>
              </w:rPr>
            </w:pPr>
            <w:r>
              <w:rPr>
                <w:b/>
              </w:rPr>
              <w:t>Steering group contact</w:t>
            </w:r>
          </w:p>
        </w:tc>
        <w:tc>
          <w:tcPr>
            <w:tcW w:w="216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right"/>
              <w:rPr/>
            </w:pPr>
            <w:r>
              <w:rPr/>
            </w:r>
          </w:p>
        </w:tc>
        <w:tc>
          <w:tcPr>
            <w:tcW w:w="256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right"/>
              <w:rPr/>
            </w:pPr>
            <w:r>
              <w:rPr/>
              <w:t>£720</w:t>
            </w:r>
          </w:p>
        </w:tc>
      </w:tr>
      <w:tr>
        <w:trPr/>
        <w:tc>
          <w:tcPr>
            <w:tcW w:w="463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b/>
                <w:b/>
              </w:rPr>
            </w:pPr>
            <w:r>
              <w:rPr>
                <w:b/>
              </w:rPr>
              <w:t>Campaigns Budget total  (broken down below)</w:t>
            </w:r>
          </w:p>
          <w:p>
            <w:pPr>
              <w:pStyle w:val="Normal1"/>
              <w:widowControl w:val="false"/>
              <w:numPr>
                <w:ilvl w:val="0"/>
                <w:numId w:val="2"/>
              </w:numPr>
              <w:spacing w:lineRule="auto" w:line="240"/>
              <w:ind w:left="720" w:hanging="360"/>
              <w:rPr>
                <w:b/>
                <w:b/>
              </w:rPr>
            </w:pPr>
            <w:r>
              <w:rPr>
                <w:b/>
              </w:rPr>
              <w:t>Travel £250</w:t>
            </w:r>
          </w:p>
          <w:p>
            <w:pPr>
              <w:pStyle w:val="Normal1"/>
              <w:widowControl w:val="false"/>
              <w:numPr>
                <w:ilvl w:val="0"/>
                <w:numId w:val="2"/>
              </w:numPr>
              <w:spacing w:lineRule="auto" w:line="240"/>
              <w:ind w:left="720" w:hanging="360"/>
              <w:rPr>
                <w:b/>
                <w:b/>
              </w:rPr>
            </w:pPr>
            <w:r>
              <w:rPr>
                <w:b/>
              </w:rPr>
              <w:t>Webinar costs £300</w:t>
            </w:r>
          </w:p>
          <w:p>
            <w:pPr>
              <w:pStyle w:val="Normal1"/>
              <w:widowControl w:val="false"/>
              <w:numPr>
                <w:ilvl w:val="0"/>
                <w:numId w:val="2"/>
              </w:numPr>
              <w:spacing w:lineRule="auto" w:line="240"/>
              <w:ind w:left="720" w:hanging="360"/>
              <w:rPr>
                <w:b/>
                <w:b/>
              </w:rPr>
            </w:pPr>
            <w:r>
              <w:rPr>
                <w:b/>
              </w:rPr>
              <w:t>Web tools / plugins £250</w:t>
            </w:r>
          </w:p>
          <w:p>
            <w:pPr>
              <w:pStyle w:val="Normal1"/>
              <w:widowControl w:val="false"/>
              <w:spacing w:lineRule="auto" w:line="240"/>
              <w:rPr>
                <w:b/>
                <w:b/>
              </w:rPr>
            </w:pPr>
            <w:r>
              <w:rPr>
                <w:b/>
              </w:rPr>
            </w:r>
          </w:p>
        </w:tc>
        <w:tc>
          <w:tcPr>
            <w:tcW w:w="216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right"/>
              <w:rPr>
                <w:b/>
                <w:b/>
              </w:rPr>
            </w:pPr>
            <w:r>
              <w:rPr>
                <w:b/>
              </w:rPr>
            </w:r>
          </w:p>
        </w:tc>
        <w:tc>
          <w:tcPr>
            <w:tcW w:w="256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right"/>
              <w:rPr/>
            </w:pPr>
            <w:r>
              <w:rPr/>
              <w:t>£800</w:t>
            </w:r>
          </w:p>
          <w:p>
            <w:pPr>
              <w:pStyle w:val="Normal1"/>
              <w:widowControl w:val="false"/>
              <w:spacing w:lineRule="auto" w:line="240"/>
              <w:jc w:val="right"/>
              <w:rPr/>
            </w:pPr>
            <w:r>
              <w:rPr/>
            </w:r>
          </w:p>
          <w:p>
            <w:pPr>
              <w:pStyle w:val="Normal1"/>
              <w:widowControl w:val="false"/>
              <w:spacing w:lineRule="auto" w:line="240"/>
              <w:jc w:val="right"/>
              <w:rPr/>
            </w:pPr>
            <w:r>
              <w:rPr/>
            </w:r>
          </w:p>
        </w:tc>
      </w:tr>
      <w:tr>
        <w:trPr/>
        <w:tc>
          <w:tcPr>
            <w:tcW w:w="463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b/>
                <w:b/>
              </w:rPr>
            </w:pPr>
            <w:r>
              <w:rPr>
                <w:b/>
              </w:rPr>
              <w:t>Video production</w:t>
            </w:r>
          </w:p>
        </w:tc>
        <w:tc>
          <w:tcPr>
            <w:tcW w:w="216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right"/>
              <w:rPr>
                <w:b/>
                <w:b/>
              </w:rPr>
            </w:pPr>
            <w:r>
              <w:rPr>
                <w:b/>
              </w:rPr>
            </w:r>
          </w:p>
        </w:tc>
        <w:tc>
          <w:tcPr>
            <w:tcW w:w="256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right"/>
              <w:rPr/>
            </w:pPr>
            <w:r>
              <w:rPr/>
              <w:t>£900</w:t>
            </w:r>
          </w:p>
        </w:tc>
      </w:tr>
      <w:tr>
        <w:trPr/>
        <w:tc>
          <w:tcPr>
            <w:tcW w:w="463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b/>
                <w:b/>
              </w:rPr>
            </w:pPr>
            <w:r>
              <w:rPr>
                <w:b/>
              </w:rPr>
              <w:t>Campaign materials</w:t>
            </w:r>
          </w:p>
          <w:p>
            <w:pPr>
              <w:pStyle w:val="Normal1"/>
              <w:widowControl w:val="false"/>
              <w:numPr>
                <w:ilvl w:val="0"/>
                <w:numId w:val="3"/>
              </w:numPr>
              <w:spacing w:lineRule="auto" w:line="240"/>
              <w:ind w:left="720" w:hanging="360"/>
              <w:rPr>
                <w:b/>
                <w:b/>
              </w:rPr>
            </w:pPr>
            <w:r>
              <w:rPr>
                <w:b/>
              </w:rPr>
              <w:t xml:space="preserve">Pocket guide </w:t>
            </w:r>
          </w:p>
          <w:p>
            <w:pPr>
              <w:pStyle w:val="Normal1"/>
              <w:widowControl w:val="false"/>
              <w:numPr>
                <w:ilvl w:val="0"/>
                <w:numId w:val="3"/>
              </w:numPr>
              <w:spacing w:lineRule="auto" w:line="240"/>
              <w:ind w:left="720" w:hanging="360"/>
              <w:rPr>
                <w:b/>
                <w:b/>
              </w:rPr>
            </w:pPr>
            <w:r>
              <w:rPr>
                <w:b/>
              </w:rPr>
              <w:t>Fact sheets</w:t>
            </w:r>
          </w:p>
          <w:p>
            <w:pPr>
              <w:pStyle w:val="Normal1"/>
              <w:widowControl w:val="false"/>
              <w:numPr>
                <w:ilvl w:val="0"/>
                <w:numId w:val="3"/>
              </w:numPr>
              <w:spacing w:lineRule="auto" w:line="240"/>
              <w:ind w:left="720" w:hanging="360"/>
              <w:rPr>
                <w:b/>
                <w:b/>
              </w:rPr>
            </w:pPr>
            <w:r>
              <w:rPr>
                <w:b/>
              </w:rPr>
              <w:t>Street banner</w:t>
            </w:r>
          </w:p>
        </w:tc>
        <w:tc>
          <w:tcPr>
            <w:tcW w:w="216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right"/>
              <w:rPr>
                <w:b/>
                <w:b/>
              </w:rPr>
            </w:pPr>
            <w:r>
              <w:rPr>
                <w:b/>
              </w:rPr>
            </w:r>
          </w:p>
        </w:tc>
        <w:tc>
          <w:tcPr>
            <w:tcW w:w="256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right"/>
              <w:rPr/>
            </w:pPr>
            <w:r>
              <w:rPr/>
              <w:t>£800</w:t>
            </w:r>
          </w:p>
        </w:tc>
      </w:tr>
      <w:tr>
        <w:trPr/>
        <w:tc>
          <w:tcPr>
            <w:tcW w:w="463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b/>
                <w:b/>
              </w:rPr>
            </w:pPr>
            <w:r>
              <w:rPr>
                <w:b/>
              </w:rPr>
              <w:t xml:space="preserve">Total </w:t>
            </w:r>
          </w:p>
        </w:tc>
        <w:tc>
          <w:tcPr>
            <w:tcW w:w="216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right"/>
              <w:rPr>
                <w:b/>
                <w:b/>
              </w:rPr>
            </w:pPr>
            <w:r>
              <w:rPr>
                <w:b/>
              </w:rPr>
              <w:t>£11,350</w:t>
            </w:r>
          </w:p>
        </w:tc>
        <w:tc>
          <w:tcPr>
            <w:tcW w:w="256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right"/>
              <w:rPr>
                <w:b/>
                <w:b/>
              </w:rPr>
            </w:pPr>
            <w:r>
              <w:rPr>
                <w:b/>
              </w:rPr>
              <w:t>£10,720</w:t>
            </w:r>
          </w:p>
        </w:tc>
      </w:tr>
      <w:tr>
        <w:trPr>
          <w:trHeight w:val="420" w:hRule="atLeast"/>
        </w:trPr>
        <w:tc>
          <w:tcPr>
            <w:tcW w:w="463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b/>
                <w:b/>
              </w:rPr>
            </w:pPr>
            <w:r>
              <w:rPr>
                <w:b/>
              </w:rPr>
              <w:t>Opening balance 2021</w:t>
            </w:r>
          </w:p>
        </w:tc>
        <w:tc>
          <w:tcPr>
            <w:tcW w:w="4725"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jc w:val="right"/>
              <w:rPr>
                <w:b/>
                <w:b/>
              </w:rPr>
            </w:pPr>
            <w:r>
              <w:rPr>
                <w:b/>
              </w:rPr>
              <w:t>£152.80</w:t>
            </w:r>
          </w:p>
        </w:tc>
      </w:tr>
      <w:tr>
        <w:trPr>
          <w:trHeight w:val="420" w:hRule="atLeast"/>
        </w:trPr>
        <w:tc>
          <w:tcPr>
            <w:tcW w:w="463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b/>
                <w:b/>
              </w:rPr>
            </w:pPr>
            <w:r>
              <w:rPr>
                <w:b/>
              </w:rPr>
              <w:t>Predicted reserve - year end 2022</w:t>
            </w:r>
          </w:p>
        </w:tc>
        <w:tc>
          <w:tcPr>
            <w:tcW w:w="4725"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jc w:val="right"/>
              <w:rPr>
                <w:b/>
                <w:b/>
              </w:rPr>
            </w:pPr>
            <w:r>
              <w:rPr>
                <w:b/>
              </w:rPr>
              <w:t>£782.80</w:t>
            </w:r>
          </w:p>
        </w:tc>
      </w:tr>
    </w:tbl>
    <w:p>
      <w:pPr>
        <w:pStyle w:val="Normal1"/>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2</Pages>
  <Words>349</Words>
  <Characters>1868</Characters>
  <CharactersWithSpaces>2141</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